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jc w:val="center"/>
        <w:rPr>
          <w:rFonts w:ascii="Courier" w:eastAsia="Times New Roman" w:hAnsi="Courier" w:cs="Courier New"/>
          <w:color w:val="000000"/>
          <w:sz w:val="21"/>
          <w:szCs w:val="21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</w:rPr>
        <w:t xml:space="preserve">PIKULA v. COMMISSIONER OF SOCIAL SERVICES, HHB 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FFFFFF" w:themeFill="background1"/>
        </w:rPr>
        <w:t>CV14-6024057S</w:t>
      </w:r>
      <w:r w:rsidRPr="00540477">
        <w:rPr>
          <w:rFonts w:ascii="Courier" w:eastAsia="Times New Roman" w:hAnsi="Courier" w:cs="Courier New"/>
          <w:color w:val="000000"/>
          <w:sz w:val="21"/>
          <w:szCs w:val="21"/>
        </w:rPr>
        <w:t xml:space="preserve"> (Nov. 13, 2014)</w:t>
      </w:r>
    </w:p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</w:rPr>
      </w:pPr>
    </w:p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jc w:val="center"/>
        <w:rPr>
          <w:rFonts w:ascii="Courier" w:eastAsia="Times New Roman" w:hAnsi="Courier" w:cs="Courier New"/>
          <w:color w:val="000000"/>
          <w:sz w:val="21"/>
          <w:szCs w:val="21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</w:rPr>
        <w:t xml:space="preserve">Marian </w:t>
      </w:r>
      <w:proofErr w:type="spellStart"/>
      <w:r w:rsidRPr="00540477">
        <w:rPr>
          <w:rFonts w:ascii="Courier" w:eastAsia="Times New Roman" w:hAnsi="Courier" w:cs="Courier New"/>
          <w:color w:val="000000"/>
          <w:sz w:val="21"/>
          <w:szCs w:val="21"/>
        </w:rPr>
        <w:t>Pikula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</w:rPr>
        <w:t xml:space="preserve"> v. Commissioner of Social Services.</w:t>
      </w:r>
      <w:proofErr w:type="gramEnd"/>
    </w:p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</w:rPr>
      </w:pPr>
    </w:p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jc w:val="center"/>
        <w:rPr>
          <w:rFonts w:ascii="Courier" w:eastAsia="Times New Roman" w:hAnsi="Courier" w:cs="Courier New"/>
          <w:color w:val="000000"/>
          <w:sz w:val="21"/>
          <w:szCs w:val="21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</w:rPr>
        <w:t>2014 Ct. Sup. 3058</w:t>
      </w:r>
    </w:p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</w:rPr>
      </w:pPr>
    </w:p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jc w:val="center"/>
        <w:rPr>
          <w:rFonts w:ascii="Courier" w:eastAsia="Times New Roman" w:hAnsi="Courier" w:cs="Courier New"/>
          <w:color w:val="000000"/>
          <w:sz w:val="21"/>
          <w:szCs w:val="21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</w:rPr>
        <w:t xml:space="preserve">No. HHB 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FFFFFF" w:themeFill="background1"/>
        </w:rPr>
        <w:t>CV14-6024057S</w:t>
      </w:r>
    </w:p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</w:rPr>
      </w:pPr>
    </w:p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jc w:val="center"/>
        <w:rPr>
          <w:rFonts w:ascii="Courier" w:eastAsia="Times New Roman" w:hAnsi="Courier" w:cs="Courier New"/>
          <w:color w:val="000000"/>
          <w:sz w:val="21"/>
          <w:szCs w:val="21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</w:rPr>
        <w:t>Connecticut Superior Court, Judicial District of New Britain at New Britain.</w:t>
      </w:r>
      <w:proofErr w:type="gramEnd"/>
    </w:p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</w:rPr>
      </w:pPr>
    </w:p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</w:rPr>
      </w:pPr>
    </w:p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jc w:val="center"/>
        <w:rPr>
          <w:rFonts w:ascii="Courier" w:eastAsia="Times New Roman" w:hAnsi="Courier" w:cs="Courier New"/>
          <w:color w:val="000000"/>
          <w:sz w:val="21"/>
          <w:szCs w:val="21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</w:rPr>
        <w:t>File Date: November 13, 2014.</w:t>
      </w:r>
    </w:p>
    <w:p w:rsidR="00540477" w:rsidRDefault="00540477" w:rsidP="00540477">
      <w:pPr>
        <w:pStyle w:val="HTMLPreformatted"/>
        <w:spacing w:line="210" w:lineRule="atLeast"/>
        <w:rPr>
          <w:rFonts w:ascii="Courier" w:hAnsi="Courier"/>
          <w:color w:val="000000"/>
          <w:sz w:val="21"/>
          <w:szCs w:val="21"/>
          <w:shd w:val="clear" w:color="auto" w:fill="CCFFFF"/>
        </w:rPr>
      </w:pPr>
    </w:p>
    <w:p w:rsidR="00540477" w:rsidRDefault="00540477" w:rsidP="00540477">
      <w:pPr>
        <w:pStyle w:val="HTMLPreformatted"/>
        <w:shd w:val="clear" w:color="auto" w:fill="FFFFFF" w:themeFill="background1"/>
        <w:spacing w:line="210" w:lineRule="atLeast"/>
        <w:rPr>
          <w:rFonts w:ascii="Courier" w:hAnsi="Courier"/>
          <w:color w:val="000000"/>
          <w:sz w:val="21"/>
          <w:szCs w:val="21"/>
          <w:shd w:val="clear" w:color="auto" w:fill="CCFFFF"/>
        </w:rPr>
      </w:pPr>
      <w:r>
        <w:rPr>
          <w:rFonts w:ascii="Courier" w:hAnsi="Courier"/>
          <w:color w:val="000000"/>
          <w:sz w:val="21"/>
          <w:szCs w:val="21"/>
          <w:shd w:val="clear" w:color="auto" w:fill="CCFFFF"/>
        </w:rPr>
        <w:t xml:space="preserve"> </w:t>
      </w:r>
      <w:r>
        <w:rPr>
          <w:rFonts w:ascii="Courier" w:hAnsi="Courier"/>
          <w:color w:val="000000"/>
          <w:sz w:val="21"/>
          <w:szCs w:val="21"/>
          <w:shd w:val="clear" w:color="auto" w:fill="CCFFFF"/>
        </w:rPr>
        <w:t>[EDITOR'S NOTE: This case is unpublished as indicated by the issuing court.]</w:t>
      </w:r>
    </w:p>
    <w:p w:rsidR="00540477" w:rsidRDefault="00540477" w:rsidP="00540477">
      <w:pPr>
        <w:pStyle w:val="HTMLPreformatted"/>
        <w:shd w:val="clear" w:color="auto" w:fill="FFFFFF" w:themeFill="background1"/>
        <w:spacing w:line="210" w:lineRule="atLeast"/>
        <w:rPr>
          <w:rStyle w:val="unpublish"/>
          <w:rFonts w:ascii="Courier" w:hAnsi="Courier"/>
          <w:color w:val="000000"/>
          <w:sz w:val="21"/>
          <w:szCs w:val="21"/>
          <w:shd w:val="clear" w:color="auto" w:fill="CCFFFF"/>
        </w:rPr>
      </w:pPr>
    </w:p>
    <w:p w:rsidR="00540477" w:rsidRDefault="00540477" w:rsidP="00540477">
      <w:pPr>
        <w:pStyle w:val="HTMLPreformatted"/>
        <w:shd w:val="clear" w:color="auto" w:fill="FFFFFF" w:themeFill="background1"/>
        <w:spacing w:line="210" w:lineRule="atLeast"/>
        <w:rPr>
          <w:rStyle w:val="unpublish"/>
          <w:rFonts w:ascii="Courier" w:hAnsi="Courier"/>
          <w:color w:val="000000"/>
          <w:sz w:val="21"/>
          <w:szCs w:val="21"/>
          <w:shd w:val="clear" w:color="auto" w:fill="CCFFFF"/>
        </w:rPr>
      </w:pPr>
      <w:r>
        <w:rPr>
          <w:rStyle w:val="unpublish"/>
          <w:rFonts w:ascii="Courier" w:hAnsi="Courier"/>
          <w:color w:val="000000"/>
          <w:sz w:val="21"/>
          <w:szCs w:val="21"/>
          <w:shd w:val="clear" w:color="auto" w:fill="CCFFFF"/>
        </w:rPr>
        <w:t>Carl J. Schuman, Judge, Superior Court.</w:t>
      </w:r>
    </w:p>
    <w:p w:rsidR="00540477" w:rsidRDefault="00540477" w:rsidP="00540477">
      <w:pPr>
        <w:pStyle w:val="HTMLPreformatted"/>
        <w:shd w:val="clear" w:color="auto" w:fill="FFFFFF" w:themeFill="background1"/>
        <w:spacing w:line="210" w:lineRule="atLeast"/>
        <w:rPr>
          <w:rStyle w:val="unpublish"/>
          <w:rFonts w:ascii="Courier" w:hAnsi="Courier"/>
          <w:color w:val="000000"/>
          <w:sz w:val="21"/>
          <w:szCs w:val="21"/>
          <w:shd w:val="clear" w:color="auto" w:fill="CCFFFF"/>
        </w:rPr>
      </w:pPr>
    </w:p>
    <w:p w:rsidR="00540477" w:rsidRDefault="00540477" w:rsidP="00540477">
      <w:pPr>
        <w:pStyle w:val="HTMLPreformatted"/>
        <w:shd w:val="clear" w:color="auto" w:fill="FFFFFF" w:themeFill="background1"/>
        <w:spacing w:line="210" w:lineRule="atLeast"/>
        <w:rPr>
          <w:rStyle w:val="unpublish"/>
          <w:rFonts w:ascii="Courier" w:hAnsi="Courier"/>
          <w:color w:val="000000"/>
          <w:sz w:val="21"/>
          <w:szCs w:val="21"/>
          <w:shd w:val="clear" w:color="auto" w:fill="CCFFFF"/>
        </w:rPr>
      </w:pPr>
      <w:r>
        <w:rPr>
          <w:rStyle w:val="unpublish"/>
          <w:rFonts w:ascii="Courier" w:hAnsi="Courier"/>
          <w:color w:val="000000"/>
          <w:sz w:val="21"/>
          <w:szCs w:val="21"/>
          <w:shd w:val="clear" w:color="auto" w:fill="CCFFFF"/>
        </w:rPr>
        <w:t>CT Page 3058-A</w:t>
      </w:r>
    </w:p>
    <w:p w:rsidR="00540477" w:rsidRDefault="00540477" w:rsidP="00540477">
      <w:pPr>
        <w:pStyle w:val="HTMLPreformatted"/>
        <w:shd w:val="clear" w:color="auto" w:fill="FFFFFF" w:themeFill="background1"/>
        <w:spacing w:line="210" w:lineRule="atLeast"/>
        <w:rPr>
          <w:rStyle w:val="unpublish"/>
          <w:rFonts w:ascii="Courier" w:hAnsi="Courier"/>
          <w:color w:val="000000"/>
          <w:sz w:val="21"/>
          <w:szCs w:val="21"/>
          <w:shd w:val="clear" w:color="auto" w:fill="CCFFFF"/>
        </w:rPr>
      </w:pPr>
    </w:p>
    <w:p w:rsidR="00540477" w:rsidRDefault="00540477" w:rsidP="00540477">
      <w:pPr>
        <w:pStyle w:val="HTMLPreformatted"/>
        <w:shd w:val="clear" w:color="auto" w:fill="FFFFFF" w:themeFill="background1"/>
        <w:spacing w:line="210" w:lineRule="atLeast"/>
        <w:rPr>
          <w:rFonts w:ascii="Courier" w:hAnsi="Courier"/>
          <w:color w:val="000000"/>
          <w:sz w:val="21"/>
          <w:szCs w:val="21"/>
        </w:rPr>
      </w:pPr>
      <w:r>
        <w:rPr>
          <w:rStyle w:val="unpublish"/>
          <w:rFonts w:ascii="Courier" w:hAnsi="Courier"/>
          <w:color w:val="000000"/>
          <w:sz w:val="21"/>
          <w:szCs w:val="21"/>
          <w:shd w:val="clear" w:color="auto" w:fill="CCFFFF"/>
        </w:rPr>
        <w:t xml:space="preserve">  </w:t>
      </w:r>
      <w:r>
        <w:rPr>
          <w:rStyle w:val="unpublish"/>
          <w:rFonts w:ascii="Courier" w:hAnsi="Courier"/>
          <w:i/>
          <w:iCs/>
          <w:color w:val="000000"/>
          <w:sz w:val="21"/>
          <w:szCs w:val="21"/>
          <w:shd w:val="clear" w:color="auto" w:fill="CCFFFF"/>
        </w:rPr>
        <w:t>Memorandum of Decision</w:t>
      </w:r>
    </w:p>
    <w:p w:rsidR="00540477" w:rsidRPr="00540477" w:rsidRDefault="00540477" w:rsidP="00540477">
      <w:pPr>
        <w:shd w:val="clear" w:color="auto" w:fill="FFFFFF" w:themeFill="background1"/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Plaintiff Marian </w:t>
      </w:r>
      <w:proofErr w:type="spell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Pikula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appeals from the final decision of the defendant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commissioner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of social services (commissioner) denying her claim for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Medicaid benefits on the ground that she was a beneficiary of a trust that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was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an available asset and that this trust put her over the Medicaid asset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limit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. As discussed below, the court affirms the commissioner's decision and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dismisses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appeal.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I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The record reveals the following facts. In 1989, John </w:t>
      </w:r>
      <w:proofErr w:type="spell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Pikula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plaintiff's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father, executed a will containing a testamentary trust for his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two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daughters: Dorothy McKee and the plaintiff. When John </w:t>
      </w:r>
      <w:proofErr w:type="spell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Pikula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died in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1991, the trust became effective and the probate court appointed a trustee.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In March 2012, the plaintiff entered a long-term care facility and applied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for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benefits under the Medicaid program. At about that time, the trust value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was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$169,745.91. The department of social services (department) denied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plaintiff's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application in May 2013 on the ground that her assets, including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the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trust, exceeded eligibility levels.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A hearing on this denial took place in September 2013. The controversy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centered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on whether the trust was an "available" asset that put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lastRenderedPageBreak/>
        <w:t>plaintiff's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assets over the $1,600 state Medicaid limit. The hearing officer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ruled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that the trust is a "general support trust" for the "maintenance and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support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" of the plaintiff. Accordingly,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CT Page 3058-B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officer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concluded that the trust was available to the plaintiff and should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be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considered in determining the plaintiff's eligibility for Medicaid. On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that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basis, the hearing officer denied the appeal. (Return of Record (ROR),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pp. 7-13.) The plaintiff now appeals to this court.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Article III of the trust, which contains the relevant trust language,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provides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as follows: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"A. Until my daughter, MARIAN E. PIKULA, shall die, the Trustee shall pay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to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or spend on behalf of my said daughter MARIAN E. PIKULA, as much of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net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income derived from this trust fund as the Trustee may deem advisable to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provide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properly for his [sic] maintenance and support and may incorporate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any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income not so distributed into the principal of the fund at the option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of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Trustee.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"B. I hereby authorize and empower the Trustee in his sole and absolute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discretion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at any time and from time to time to disburse from the principal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for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any of the trust estates created under this Article, even to the point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of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completely exhausting the same, such amount as he may deem advisable to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provide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adequately and properly for the support and maintenance of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current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income beneficiaries thereof, any expenses incurred by reason of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illness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and disability. In determining the amount of principal to be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disbursed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the Trustee shall take into consideration any other income or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property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which such income beneficiary may have from any other source, and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the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Trustee's discretion shall be conclusive as to the advisability of any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such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disbursement and the same shall not be questioned by anyone. For all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sums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so distributed, the Trustee shall have full </w:t>
      </w:r>
      <w:proofErr w:type="spell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acquittance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." </w:t>
      </w: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(ROR, p.</w:t>
      </w:r>
      <w:proofErr w:type="gramEnd"/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129.)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II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Under the Uniform Administrative Procedure Act (UAPA), General Statutes §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Verdana" w:eastAsia="Times New Roman" w:hAnsi="Verdana" w:cs="Courier New"/>
          <w:b/>
          <w:bCs/>
          <w:color w:val="660066"/>
          <w:sz w:val="18"/>
          <w:szCs w:val="18"/>
          <w:shd w:val="clear" w:color="auto" w:fill="CCFFFF"/>
        </w:rPr>
        <w:t>4-166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et seq., judicial review of an agency decision is "very restricted."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(Internal quotation marks omitted.)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MacDermid</w:t>
      </w:r>
      <w:proofErr w:type="spellEnd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, Inc. v. Dept. of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Environmental Protection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, </w:t>
      </w:r>
      <w:r w:rsidRPr="00540477">
        <w:rPr>
          <w:rFonts w:ascii="Verdana" w:eastAsia="Times New Roman" w:hAnsi="Verdana" w:cs="Courier New"/>
          <w:b/>
          <w:bCs/>
          <w:color w:val="660066"/>
          <w:sz w:val="18"/>
          <w:szCs w:val="18"/>
          <w:shd w:val="clear" w:color="auto" w:fill="CCFFFF"/>
        </w:rPr>
        <w:t>257 Conn. 1</w:t>
      </w:r>
      <w:r w:rsidRPr="00540477">
        <w:rPr>
          <w:rFonts w:ascii="Verdana" w:eastAsia="Times New Roman" w:hAnsi="Verdana" w:cs="Courier New"/>
          <w:b/>
          <w:bCs/>
          <w:color w:val="660066"/>
          <w:sz w:val="18"/>
          <w:szCs w:val="18"/>
          <w:shd w:val="clear" w:color="auto" w:fill="CCFFFF"/>
        </w:rPr>
        <w:t>2</w:t>
      </w:r>
      <w:r w:rsidRPr="00540477">
        <w:rPr>
          <w:rFonts w:ascii="Verdana" w:eastAsia="Times New Roman" w:hAnsi="Verdana" w:cs="Courier New"/>
          <w:b/>
          <w:bCs/>
          <w:color w:val="660066"/>
          <w:sz w:val="18"/>
          <w:szCs w:val="18"/>
          <w:shd w:val="clear" w:color="auto" w:fill="CCFFFF"/>
        </w:rPr>
        <w:t>8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, </w:t>
      </w:r>
      <w:hyperlink r:id="rId5" w:anchor="PG136" w:tooltip="257 Conn. 128, 136" w:history="1">
        <w:r w:rsidRPr="00540477">
          <w:rPr>
            <w:rFonts w:ascii="Verdana" w:eastAsia="Times New Roman" w:hAnsi="Verdana" w:cs="Courier New"/>
            <w:b/>
            <w:bCs/>
            <w:color w:val="660066"/>
            <w:sz w:val="18"/>
            <w:szCs w:val="18"/>
            <w:shd w:val="clear" w:color="auto" w:fill="CCFFFF"/>
          </w:rPr>
          <w:t>136-37</w:t>
        </w:r>
      </w:hyperlink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, </w:t>
      </w:r>
      <w:hyperlink r:id="rId6" w:tooltip="778 A.2d 7" w:history="1">
        <w:r w:rsidRPr="00540477">
          <w:rPr>
            <w:rFonts w:ascii="Verdana" w:eastAsia="Times New Roman" w:hAnsi="Verdana" w:cs="Courier New"/>
            <w:b/>
            <w:bCs/>
            <w:color w:val="660066"/>
            <w:sz w:val="18"/>
            <w:szCs w:val="18"/>
            <w:shd w:val="clear" w:color="auto" w:fill="CCFFFF"/>
          </w:rPr>
          <w:t>778 A.2d 7</w:t>
        </w:r>
      </w:hyperlink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(2001).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Section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Verdana" w:eastAsia="Times New Roman" w:hAnsi="Verdana" w:cs="Courier New"/>
          <w:b/>
          <w:bCs/>
          <w:color w:val="660066"/>
          <w:sz w:val="18"/>
          <w:szCs w:val="18"/>
          <w:shd w:val="clear" w:color="auto" w:fill="CCFFFF"/>
        </w:rPr>
        <w:t>4-183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(j) of the General Statutes provides as follows: "The court shall not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substitute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its judgment for that of the agency as to the weight of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evidence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on questions of fact. The court shall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CT Page 3058-C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affirm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decision of the agency unless the court finds that substantial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rights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of the person appealing have been prejudiced because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administrative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findings, inferences, conclusions, or decisions are: (1) In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violation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of constitutional or statutory provisions; (2) in excess of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statutory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authority of the agency; (3) made upon unlawful procedure; (4)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lastRenderedPageBreak/>
        <w:t>affected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by other error of law; (5) clearly erroneous in view of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reliable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probative, and substantial evidence on the whole record; or (6)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arbitrary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or capricious or characterized by abuse of discretion or clearly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unwarranted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exercise of discretion."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Stated differently, "[r]</w:t>
      </w:r>
      <w:proofErr w:type="spell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eview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of an administrative agency decision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requires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 court to determine whether there is substantial evidence in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administrative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record to support the agency's findings of basic fact and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whether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conclusions drawn from those facts are reasonable ... Neither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[</w:t>
      </w: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the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appellate] court nor the trial court may retry the case or substitute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its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own judgment for that of the administrative agency on the weight of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evidence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or questions of fact ... Our ultimate duty is to determine, in view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of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all of the evidence, whether the agency, in issuing its order, acted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unreasonably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arbitrarily, illegally or in abuse of its discretion."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(Internal quotation marks omitted.)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Okeke</w:t>
      </w:r>
      <w:proofErr w:type="spellEnd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 xml:space="preserve"> v. Commissioner of Public Health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Verdana" w:eastAsia="Times New Roman" w:hAnsi="Verdana" w:cs="Courier New"/>
          <w:b/>
          <w:bCs/>
          <w:color w:val="660066"/>
          <w:sz w:val="18"/>
          <w:szCs w:val="18"/>
          <w:shd w:val="clear" w:color="auto" w:fill="CCFFFF"/>
        </w:rPr>
        <w:t>304 Conn. 317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, </w:t>
      </w:r>
      <w:hyperlink r:id="rId7" w:anchor="PG324" w:tooltip="304 Conn. 317, 324" w:history="1">
        <w:r w:rsidRPr="00540477">
          <w:rPr>
            <w:rFonts w:ascii="Verdana" w:eastAsia="Times New Roman" w:hAnsi="Verdana" w:cs="Courier New"/>
            <w:b/>
            <w:bCs/>
            <w:color w:val="660066"/>
            <w:sz w:val="18"/>
            <w:szCs w:val="18"/>
            <w:shd w:val="clear" w:color="auto" w:fill="CCFFFF"/>
          </w:rPr>
          <w:t>324</w:t>
        </w:r>
      </w:hyperlink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39 A.3d 1095 (2012).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"It is fundamental that a plaintiff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has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burden of proving that the [agency], on the facts before [it], acted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contrary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to law and in abuse of [its] discretion." (Internal quotation marks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omitted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.) </w:t>
      </w: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Murphy v. Commissioner of Motor Vehicles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, </w:t>
      </w:r>
      <w:r w:rsidRPr="00540477">
        <w:rPr>
          <w:rFonts w:ascii="Verdana" w:eastAsia="Times New Roman" w:hAnsi="Verdana" w:cs="Courier New"/>
          <w:b/>
          <w:bCs/>
          <w:color w:val="660066"/>
          <w:sz w:val="18"/>
          <w:szCs w:val="18"/>
          <w:shd w:val="clear" w:color="auto" w:fill="CCFFFF"/>
        </w:rPr>
        <w:t>254 Conn. 333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, </w:t>
      </w:r>
      <w:hyperlink r:id="rId8" w:anchor="PG343" w:tooltip="254 Conn. 333, 343" w:history="1">
        <w:r w:rsidRPr="00540477">
          <w:rPr>
            <w:rFonts w:ascii="Verdana" w:eastAsia="Times New Roman" w:hAnsi="Verdana" w:cs="Courier New"/>
            <w:b/>
            <w:bCs/>
            <w:color w:val="660066"/>
            <w:sz w:val="18"/>
            <w:szCs w:val="18"/>
            <w:shd w:val="clear" w:color="auto" w:fill="CCFFFF"/>
          </w:rPr>
          <w:t>343</w:t>
        </w:r>
      </w:hyperlink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Verdana" w:eastAsia="Times New Roman" w:hAnsi="Verdana" w:cs="Courier New"/>
          <w:b/>
          <w:bCs/>
          <w:color w:val="660066"/>
          <w:sz w:val="18"/>
          <w:szCs w:val="18"/>
          <w:shd w:val="clear" w:color="auto" w:fill="CCFFFF"/>
        </w:rPr>
        <w:t>757 A.2d 561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(2000).</w:t>
      </w:r>
      <w:proofErr w:type="gramEnd"/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III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After the department initially denied benefits on May 10, 2013,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petitioner's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sister, Dorothy McKee, filed an application in Newington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Probate Court "to obtain a court ruling concerning whether or not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[</w:t>
      </w: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plaintiff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here] can compel the Trustee of their father's testamentary trust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to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distribute the trust principal for her benefit." </w:t>
      </w: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(ROR, p. 122.)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Probate Court recognized that the "purpose in bringing the proceeding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CT Page 3058-D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was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to get a court determination that the testamentary trust in question was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supplemental needs trust and as such the assets in the trust were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unavailable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to the beneficiary, [the plaintiff], which determination is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critical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to her pending application with DSS for Title 19 insurance coverage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to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pay for her residence in a skilled nursing facility." </w:t>
      </w: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(ROR, p. 123.)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court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suspended proceedings on October 1 in order to give notice to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department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and provide it an opportunity to be heard. The department did not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appear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at the next hearing on November 6, 2013. On November 12, 2013,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court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issued a ruling in which it found that the plaintiff is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"</w:t>
      </w: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beneficiary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of a supplemental needs trust and as such cannot compel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trustee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to make distributions from the trust." </w:t>
      </w: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(ROR, p. 124.)</w:t>
      </w:r>
      <w:proofErr w:type="gramEnd"/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lastRenderedPageBreak/>
        <w:t xml:space="preserve">  The department's hearing officer acknowledged the probate court decree but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concluded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on December 20, 2013 that a probate order "is not used to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determine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eligibility for assistance for Department of Social Services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programs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." </w:t>
      </w: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(ROR, p. 10.)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hearing officer observed that, under General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Statutes § </w:t>
      </w:r>
      <w:r w:rsidRPr="00540477">
        <w:rPr>
          <w:rFonts w:ascii="Verdana" w:eastAsia="Times New Roman" w:hAnsi="Verdana" w:cs="Courier New"/>
          <w:b/>
          <w:bCs/>
          <w:color w:val="660066"/>
          <w:sz w:val="18"/>
          <w:szCs w:val="18"/>
          <w:shd w:val="clear" w:color="auto" w:fill="CCFFFF"/>
        </w:rPr>
        <w:t>17b-261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(a), "[a] disposition of property ordered by a court shall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be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evaluated in accordance with the standards applied to any other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disposition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for the purpose of determining eligibility." </w:t>
      </w: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(ROR, p. 10.)</w:t>
      </w:r>
      <w:proofErr w:type="gramEnd"/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The initial argument raised by the plaintiff is that the Probate Court's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decision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operates as a collateral estoppel bar to the department's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determination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of ineligibility. Our Supreme Court has considered but not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decided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this issue. See </w:t>
      </w: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Corcoran v. Dept. of Social Services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, </w:t>
      </w:r>
      <w:r w:rsidRPr="00540477">
        <w:rPr>
          <w:rFonts w:ascii="Verdana" w:eastAsia="Times New Roman" w:hAnsi="Verdana" w:cs="Courier New"/>
          <w:b/>
          <w:bCs/>
          <w:color w:val="660066"/>
          <w:sz w:val="18"/>
          <w:szCs w:val="18"/>
          <w:shd w:val="clear" w:color="auto" w:fill="CCFFFF"/>
        </w:rPr>
        <w:t>271 Conn. 679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687-98, </w:t>
      </w:r>
      <w:r w:rsidRPr="00540477">
        <w:rPr>
          <w:rFonts w:ascii="Verdana" w:eastAsia="Times New Roman" w:hAnsi="Verdana" w:cs="Courier New"/>
          <w:b/>
          <w:bCs/>
          <w:color w:val="660066"/>
          <w:sz w:val="18"/>
          <w:szCs w:val="18"/>
          <w:shd w:val="clear" w:color="auto" w:fill="CCFFFF"/>
        </w:rPr>
        <w:t>859 A.2d 533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(2004).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fldChar w:fldCharType="begin"/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instrText xml:space="preserve"> HYPERLINK "http://www.loislaw.com/pns/docview.htp?query=%28cv14+6024057s%29&amp;pagename=Case+Law&amp;srcquery=P@eLsoKQgl03BJLEm1MzIwNDGwNDbQBAAgBgOh&amp;sortspec=date+desc+docnum+desc&amp;resstart=0&amp;respage=25&amp;hidesummary=0&amp;booklist=P@eLsoKQglSy4pLi0AAAZ3AjA%3D&amp;colistfdcr=P@eLsoKQglAwAAAAAB&amp;colistbcr=P@eLsoKQglAwAAAAAB&amp;popnamekw=P@eLsoKQglAwAAAAAB&amp;logauto=&amp;bottomID=&amp;hits=1&amp;curdoc=0&amp;swascnt=&amp;textquery=&amp;k2dockey=28678453@COLL43" \l "[fn1]00" </w:instrTex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fldChar w:fldCharType="separate"/>
      </w:r>
      <w:r w:rsidRPr="00540477">
        <w:rPr>
          <w:rFonts w:ascii="Courier" w:eastAsia="Times New Roman" w:hAnsi="Courier" w:cs="Courier New"/>
          <w:b/>
          <w:bCs/>
          <w:color w:val="660066"/>
          <w:sz w:val="18"/>
          <w:szCs w:val="18"/>
          <w:shd w:val="clear" w:color="auto" w:fill="CCFFFF"/>
        </w:rPr>
        <w:t>[fn1]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fldChar w:fldCharType="end"/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court now holds that, based on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doctrine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of primary jurisdiction, the department correctly declined to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follow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probate decision.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The doctrine of primary jurisdiction applies "where a plaintiff, in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absence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of pending administrative proceedings, invokes the original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jurisdiction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of a court to decide the merits of a controversy ... That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doctrine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like exhaustion, is grounded in a policy of fostering an orderly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process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of administrative adjudication and judicial review in which a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reviewing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court will have the benefit of the agency's findings and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conclusions ...</w:t>
      </w:r>
      <w:proofErr w:type="gramEnd"/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CT Page 3058-E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[W]here a statute has established a procedure to redress a particular wrong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person must follow the specified remedy and may not institute a proceeding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that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might have been permissible in the absence of such a statutory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procedure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... A failure to do so deprives the court of subject matter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jurisdiction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over the controversy." (Internal quotation marks omitted;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citations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omitted.)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Dontigney</w:t>
      </w:r>
      <w:proofErr w:type="spellEnd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 xml:space="preserve"> v. Brown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, </w:t>
      </w:r>
      <w:proofErr w:type="gramStart"/>
      <w:r w:rsidRPr="00540477">
        <w:rPr>
          <w:rFonts w:ascii="Verdana" w:eastAsia="Times New Roman" w:hAnsi="Verdana" w:cs="Courier New"/>
          <w:b/>
          <w:bCs/>
          <w:color w:val="660066"/>
          <w:sz w:val="18"/>
          <w:szCs w:val="18"/>
          <w:shd w:val="clear" w:color="auto" w:fill="CCFFFF"/>
        </w:rPr>
        <w:t>82 Conn.App</w:t>
      </w:r>
      <w:proofErr w:type="gramEnd"/>
      <w:r w:rsidRPr="00540477">
        <w:rPr>
          <w:rFonts w:ascii="Verdana" w:eastAsia="Times New Roman" w:hAnsi="Verdana" w:cs="Courier New"/>
          <w:b/>
          <w:bCs/>
          <w:color w:val="660066"/>
          <w:sz w:val="18"/>
          <w:szCs w:val="18"/>
          <w:shd w:val="clear" w:color="auto" w:fill="CCFFFF"/>
        </w:rPr>
        <w:t>. 11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, 15-16, </w:t>
      </w:r>
      <w:proofErr w:type="gramStart"/>
      <w:r w:rsidRPr="00540477">
        <w:rPr>
          <w:rFonts w:ascii="Verdana" w:eastAsia="Times New Roman" w:hAnsi="Verdana" w:cs="Courier New"/>
          <w:b/>
          <w:bCs/>
          <w:color w:val="660066"/>
          <w:sz w:val="18"/>
          <w:szCs w:val="18"/>
          <w:shd w:val="clear" w:color="auto" w:fill="CCFFFF"/>
        </w:rPr>
        <w:t>842 A.2d 597</w:t>
      </w:r>
      <w:proofErr w:type="gramEnd"/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(2004)</w:t>
      </w: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.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fldChar w:fldCharType="begin"/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instrText xml:space="preserve"> HYPERLINK "http://www.loislaw.com/pns/docview.htp?query=%28cv14+6024057s%29&amp;pagename=Case+Law&amp;srcquery=P@eLsoKQgl03BJLEm1MzIwNDGwNDbQBAAgBgOh&amp;sortspec=date+desc+docnum+desc&amp;resstart=0&amp;respage=25&amp;hidesummary=0&amp;booklist=P@eLsoKQglSy4pLi0AAAZ3AjA%3D&amp;colistfdcr=P@eLsoKQglAwAAAAAB&amp;colistbcr=P@eLsoKQglAwAAAAAB&amp;popnamekw=P@eLsoKQglAwAAAAAB&amp;logauto=&amp;bottomID=&amp;hits=1&amp;curdoc=0&amp;swascnt=&amp;textquery=&amp;k2dockey=28678453@COLL43" \l "[fn2]00" </w:instrTex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fldChar w:fldCharType="separate"/>
      </w:r>
      <w:r w:rsidRPr="00540477">
        <w:rPr>
          <w:rFonts w:ascii="Courier" w:eastAsia="Times New Roman" w:hAnsi="Courier" w:cs="Courier New"/>
          <w:b/>
          <w:bCs/>
          <w:color w:val="660066"/>
          <w:sz w:val="18"/>
          <w:szCs w:val="18"/>
          <w:shd w:val="clear" w:color="auto" w:fill="CCFFFF"/>
        </w:rPr>
        <w:t>[fn2]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fldChar w:fldCharType="end"/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General Statutes § </w:t>
      </w:r>
      <w:r w:rsidRPr="00540477">
        <w:rPr>
          <w:rFonts w:ascii="Verdana" w:eastAsia="Times New Roman" w:hAnsi="Verdana" w:cs="Courier New"/>
          <w:b/>
          <w:bCs/>
          <w:color w:val="660066"/>
          <w:sz w:val="18"/>
          <w:szCs w:val="18"/>
          <w:shd w:val="clear" w:color="auto" w:fill="CCFFFF"/>
        </w:rPr>
        <w:t>17b-</w:t>
      </w:r>
      <w:proofErr w:type="gramStart"/>
      <w:r w:rsidRPr="00540477">
        <w:rPr>
          <w:rFonts w:ascii="Verdana" w:eastAsia="Times New Roman" w:hAnsi="Verdana" w:cs="Courier New"/>
          <w:b/>
          <w:bCs/>
          <w:color w:val="660066"/>
          <w:sz w:val="18"/>
          <w:szCs w:val="18"/>
          <w:shd w:val="clear" w:color="auto" w:fill="CCFFFF"/>
        </w:rPr>
        <w:t>261b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(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a) provides: "The Department of Social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Services shall be the sole agency to determine the eligibility for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assistance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and services under programs operated and administered by said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department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." Even if this statute does not expressly preclude Probate Court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consideration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of an eligibility determination such as the present one, it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does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so by way of the doctrine of primary jurisdiction. Clearly,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legislature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recognized the department as the agency with the expertise to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address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eligibility determinations in the first instance. An applicant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aggrieved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by an adverse decision of the department can then appeal to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Superior Court under the orderly and well-established procedures in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UAPA.</w:t>
      </w:r>
      <w:proofErr w:type="gramEnd"/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The plaintiff seeks to upset this process by asking the Probate Court to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make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 determination that that court recognized as "critical to her pending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application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with DSS for Title 19 insurance coverage to pay for her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lastRenderedPageBreak/>
        <w:t>residence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in a skilled nursing facility." The plaintiff essentially seeks to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circumvent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administrative process in hopes of obtaining a more favorable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forum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. The plaintiff's approach promotes a race to the courthouse that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begins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after the department makes an initial denial of benefits. Such an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approach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is contrary to the policy "of fostering an orderly process of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administrative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adjudication and judicial review in which a reviewing court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will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have the benefit of the agency's findings and conclusions..."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Dontigney</w:t>
      </w:r>
      <w:proofErr w:type="spellEnd"/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v. Brown, supra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82 Conn.App. 15. Accordingly, the court concludes that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department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has primary jurisdiction over the Medicaid eligibility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determination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at issue here, that the Probate Court lacked jurisdiction, and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that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therefore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CT Page 3058-F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department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was not bound by the probate decree.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IV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The court now turns to the merits of whether the trust in this case is an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available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asset for Medicaid purposes. Our Supreme Court has stated: "[F]or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the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purposes of determining eligibility for the </w:t>
      </w:r>
      <w:proofErr w:type="spell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medicaid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program, only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assets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actually available to a medical assistance recipient may be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considered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... Assets held in trust are considered available if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beneficiary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has the legal right to compel distributions." (Internal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quotation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marks omitted; citations omitted.) </w:t>
      </w: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Corcoran v. Dept. of Social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Services, supra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271 Conn. 692.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"For </w:t>
      </w:r>
      <w:proofErr w:type="spell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medicaid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purposes, general support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trusts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are considered available because a beneficiary can compel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distribution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of the trust income ... In other words, the beneficiary has a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legal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right ... to obtain the fund ... Conversely, supplemental needs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trusts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in which a trustee retains unfettered discretion to withhold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income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are not considered available to the beneficiary." (Internal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quotation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marks omitted; citations omitted; footnote omitted.) </w:t>
      </w: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Id.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699-700.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The leading cases in the state on trust construction in relation to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Medicaid eligibility </w:t>
      </w: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are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 xml:space="preserve"> v. Commissioner of Social Services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Verdana" w:eastAsia="Times New Roman" w:hAnsi="Verdana" w:cs="Courier New"/>
          <w:b/>
          <w:bCs/>
          <w:color w:val="660066"/>
          <w:sz w:val="18"/>
          <w:szCs w:val="18"/>
          <w:shd w:val="clear" w:color="auto" w:fill="CCFFFF"/>
        </w:rPr>
        <w:t>179 Conn. 83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, </w:t>
      </w:r>
      <w:r w:rsidRPr="00540477">
        <w:rPr>
          <w:rFonts w:ascii="Verdana" w:eastAsia="Times New Roman" w:hAnsi="Verdana" w:cs="Courier New"/>
          <w:b/>
          <w:bCs/>
          <w:color w:val="660066"/>
          <w:sz w:val="18"/>
          <w:szCs w:val="18"/>
          <w:shd w:val="clear" w:color="auto" w:fill="CCFFFF"/>
        </w:rPr>
        <w:t>425 A.2d 553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(1979), and </w:t>
      </w: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Corcoran v. Dept. of Social Services,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supra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, </w:t>
      </w:r>
      <w:r w:rsidRPr="00540477">
        <w:rPr>
          <w:rFonts w:ascii="Verdana" w:eastAsia="Times New Roman" w:hAnsi="Verdana" w:cs="Courier New"/>
          <w:b/>
          <w:bCs/>
          <w:color w:val="660066"/>
          <w:sz w:val="18"/>
          <w:szCs w:val="18"/>
          <w:shd w:val="clear" w:color="auto" w:fill="CCFFFF"/>
        </w:rPr>
        <w:t>271 Conn. 679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.</w:t>
      </w:r>
      <w:hyperlink r:id="rId9" w:anchor="[fn3]00" w:history="1">
        <w:r w:rsidRPr="00540477">
          <w:rPr>
            <w:rFonts w:ascii="Courier" w:eastAsia="Times New Roman" w:hAnsi="Courier" w:cs="Courier New"/>
            <w:b/>
            <w:bCs/>
            <w:color w:val="660066"/>
            <w:sz w:val="18"/>
            <w:szCs w:val="18"/>
            <w:shd w:val="clear" w:color="auto" w:fill="CCFFFF"/>
          </w:rPr>
          <w:t>[fn3]</w:t>
        </w:r>
      </w:hyperlink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In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"the plaintiffs, two mentally disabled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sisters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appealed from the department of social services decision to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terminate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their </w:t>
      </w:r>
      <w:proofErr w:type="spell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medicaid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benefits for having excess assets in the form of a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testamentary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trust devised to them by their father. [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 xml:space="preserve"> v. Commissioner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of</w:t>
      </w:r>
      <w:proofErr w:type="gramEnd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 xml:space="preserve"> Social Services, supra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], 84-85. The language of the bequest granted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trustee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'absolute and uncontrolled discretion' to make distributions to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either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daughter, 'regardless of whether any one of my daughters may be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totally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deprived of any benefit hereunder.' (Internal quotation marks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omitted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.) </w:t>
      </w:r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Id.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86-87 n. 2.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trust instrument further provided that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'[</w:t>
      </w: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w]</w:t>
      </w:r>
      <w:proofErr w:type="spellStart"/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ithout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in any way limiting the absolute discretion of my Trustee, it is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lastRenderedPageBreak/>
        <w:t>my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fond hope that my trustee pay or apply the net income or principal of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trust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for the maintenance, support, education,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CT Page 3058-G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health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and general welfare of ... my daughters...' (Internal quotation marks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omitted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.) </w:t>
      </w: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Id.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[The Supreme Court], after analyzing the testamentary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language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concluded that 'the testator's intent was to provide the trustee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with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sufficient flexibility to use the funds under the trust solely for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supplemental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support.' </w:t>
      </w:r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Id.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90.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Therefore, '[s]</w:t>
      </w:r>
      <w:proofErr w:type="spell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ince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assets held in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spendthrift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trust were not intended for the plaintiffs' general support,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they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could not compel their distribution' and the trust corpus and income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could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not be considered available. </w:t>
      </w:r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Id.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92."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</w:t>
      </w: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Corcoran v. Dept. of Social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Services, supra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700-01.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As the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Court stated: "[t]he combination of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express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and precatory terms in the will attempts to grant the trustee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flexibility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to provide the support that would benefit either of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beneficiaries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most, that is, imposing on the trustee the legal duty to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furnish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only supplementary support."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 xml:space="preserve"> v. Commissioner of Social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Services, supra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91.</w:t>
      </w:r>
      <w:proofErr w:type="gramEnd"/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The trust in </w:t>
      </w: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Corcoran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was significantly different. There the Supreme Court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stated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: "the testator created the trust with the following language: 'If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[</w:t>
      </w: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the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plaintiff there] is then living, the trust established for her shall be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retained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by my trustees to hold, manage, invest and reinvest said share as a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Trust Fund, paying to or expending for the benefit of [the plaintiff] so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much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of the net income and principal of said Trust as the Trustees, in their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sole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discretion, shall deem proper for her health, support in reasonable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comfort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best interests and welfare...' Thus, the trustees' 'sole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discretion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' is limited by the ascertainable standard of the plaintiff's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'</w:t>
      </w: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health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support in reasonable comfort, best interests and welfare...' Put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simply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, whereas the testator in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imbued his trustees with 'absolute and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uncontrolled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discretion' and noted his mere desire that the trust be used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for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maintenance and support of the beneficiaries;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 xml:space="preserve"> v. Commissioner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of</w:t>
      </w:r>
      <w:proofErr w:type="gramEnd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 xml:space="preserve"> Social Services, supra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[179 Conn.] 86-87 n. 2; the testator in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present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case created the trust for the purpose of supporting the plaintiff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'</w:t>
      </w: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in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reasonable comfort...' Absent the requisite testamentary intent to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provide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only for the plaintiff's supplemental needs, we agree with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department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and conclude that the trust in question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CT Page 3058-H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is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 general support trust." (Internal quotation marks omitted.) </w:t>
      </w:r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Corcoran v.</w:t>
      </w:r>
      <w:proofErr w:type="gramEnd"/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Dept. of Social Services, supra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271 Conn. 703.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fldChar w:fldCharType="begin"/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instrText xml:space="preserve"> HYPERLINK "http://www.loislaw.com/pns/docview.htp?query=%28cv14+6024057s%29&amp;pagename=Case+Law&amp;srcquery=P@eLsoKQgl03BJLEm1MzIwNDGwNDbQBAAgBgOh&amp;sortspec=date+desc+docnum+desc&amp;resstart=0&amp;respage=25&amp;hidesummary=0&amp;booklist=P@eLsoKQglSy4pLi0AAAZ3AjA%3D&amp;colistfdcr=P@eLsoKQglAwAAAAAB&amp;colistbcr=P@eLsoKQglAwAAAAAB&amp;popnamekw=P@eLsoKQglAwAAAAAB&amp;logauto=&amp;bottomID=&amp;hits=1&amp;curdoc=0&amp;swascnt=&amp;textquery=&amp;k2dockey=28678453@COLL43" \l "[fn4]00" </w:instrTex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fldChar w:fldCharType="separate"/>
      </w:r>
      <w:r w:rsidRPr="00540477">
        <w:rPr>
          <w:rFonts w:ascii="Courier" w:eastAsia="Times New Roman" w:hAnsi="Courier" w:cs="Courier New"/>
          <w:b/>
          <w:bCs/>
          <w:color w:val="660066"/>
          <w:sz w:val="18"/>
          <w:szCs w:val="18"/>
          <w:shd w:val="clear" w:color="auto" w:fill="CCFFFF"/>
        </w:rPr>
        <w:t>[fn4]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fldChar w:fldCharType="end"/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Although the trust in the present case bears some similarities to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trust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in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, on the whole it is much closer to the trust in </w:t>
      </w: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Corcoran.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primary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similarity to the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trust is that both the present trust and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lastRenderedPageBreak/>
        <w:t>Zeoli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trust have language making the trustee's decisions conclusive and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essentially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releasing him from liability.</w:t>
      </w:r>
      <w:hyperlink r:id="rId10" w:anchor="[fn5]00" w:history="1">
        <w:r w:rsidRPr="00540477">
          <w:rPr>
            <w:rFonts w:ascii="Courier" w:eastAsia="Times New Roman" w:hAnsi="Courier" w:cs="Courier New"/>
            <w:b/>
            <w:bCs/>
            <w:color w:val="660066"/>
            <w:sz w:val="18"/>
            <w:szCs w:val="18"/>
            <w:shd w:val="clear" w:color="auto" w:fill="CCFFFF"/>
          </w:rPr>
          <w:t>[fn5]</w:t>
        </w:r>
      </w:hyperlink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The size of the trust in the present case is essentially a neutral factor.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In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the estate had a balance of $9,515.85. The Court observed: "As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amount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held under trust, approximately one-half of his entire estate,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indicates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the plaintiffs' father was a person of modest means. Presumably,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the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funds under the trust would not provide for the general support of his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daughters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for much more than a few months." (Footnote omitted.) </w:t>
      </w:r>
      <w:proofErr w:type="spellStart"/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 xml:space="preserve"> v.</w:t>
      </w:r>
      <w:proofErr w:type="gramEnd"/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Commissioner of Social Services, supra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179 Conn. 90.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present trust had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balance of $169,454.91 at the time of the hearing officer's decision.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Corcoran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trust had a large balance of $854,307.95. </w:t>
      </w: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Corcoran v. Dept. of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Social Services, supra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271 Conn. 682.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Thus, the balance in the present case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places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it in between the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trust and the </w:t>
      </w: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Corcoran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trust.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In most other respects, the present trust closely resembles the </w:t>
      </w: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Corcoran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trust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and differs from the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trust. Here the trust uses mandatory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language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in providing that the trustee "shall pay" as much trust income to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the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plaintiff for her "maintenance and support" as the trustee "deems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advisable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."</w:t>
      </w:r>
      <w:hyperlink r:id="rId11" w:anchor="[fn6]00" w:history="1">
        <w:r w:rsidRPr="00540477">
          <w:rPr>
            <w:rFonts w:ascii="Courier" w:eastAsia="Times New Roman" w:hAnsi="Courier" w:cs="Courier New"/>
            <w:b/>
            <w:bCs/>
            <w:color w:val="660066"/>
            <w:sz w:val="18"/>
            <w:szCs w:val="18"/>
            <w:shd w:val="clear" w:color="auto" w:fill="CCFFFF"/>
          </w:rPr>
          <w:t>[fn6]</w:t>
        </w:r>
      </w:hyperlink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With regard to the principal, the trustee has "sole and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absolute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discretion" to pay amounts "as he may deem advisable," and thus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duty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is less mandatory, but the trustee may make such payments of principal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"</w:t>
      </w: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even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to the point of completely exhausting the same" for the purpose of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providing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"adequately and properly for the support and maintenance of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current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income beneficiaries thereof, any expenses incurred by reason of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illness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and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CT Page 3058-I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disability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."</w:t>
      </w:r>
      <w:hyperlink r:id="rId12" w:anchor="[fn7]00" w:history="1">
        <w:r w:rsidRPr="00540477">
          <w:rPr>
            <w:rFonts w:ascii="Courier" w:eastAsia="Times New Roman" w:hAnsi="Courier" w:cs="Courier New"/>
            <w:b/>
            <w:bCs/>
            <w:color w:val="660066"/>
            <w:sz w:val="18"/>
            <w:szCs w:val="18"/>
            <w:shd w:val="clear" w:color="auto" w:fill="CCFFFF"/>
          </w:rPr>
          <w:t>[fn7]</w:t>
        </w:r>
      </w:hyperlink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As discussed, the </w:t>
      </w: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Corcoran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trust also limited the "sole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discretion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" of the trustee by the standard of one specific beneficiary's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health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and support.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In contrast, the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trustee was "not required to distribute any net</w:t>
      </w:r>
    </w:p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income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of such trust currently and may, in his absolute and uncontrolled</w:t>
      </w:r>
    </w:p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discretion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accumulate any part or all of the net income of such trust,</w:t>
      </w:r>
    </w:p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which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such accumulated net income shall be available for distribution to the</w:t>
      </w:r>
    </w:p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beneficiaries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as aforesaid."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 xml:space="preserve"> v. Commissioner of Social Services,</w:t>
      </w:r>
    </w:p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supra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, 179 Conn. 86-87 n. 2. Further, the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trust expressed only a "fond</w:t>
      </w:r>
    </w:p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hope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" that the trustee would use the income or the principal to provide for</w:t>
      </w:r>
    </w:p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the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maintenance and support of whichever of the two daughters "would benefit</w:t>
      </w:r>
    </w:p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most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."</w:t>
      </w:r>
      <w:hyperlink r:id="rId13" w:anchor="[fn8]00" w:history="1">
        <w:r w:rsidRPr="00540477">
          <w:rPr>
            <w:rFonts w:ascii="Courier" w:eastAsia="Times New Roman" w:hAnsi="Courier" w:cs="Courier New"/>
            <w:b/>
            <w:bCs/>
            <w:color w:val="660066"/>
            <w:sz w:val="18"/>
            <w:szCs w:val="18"/>
            <w:shd w:val="clear" w:color="auto" w:fill="CCFFFF"/>
          </w:rPr>
          <w:t>[fn8]</w:t>
        </w:r>
      </w:hyperlink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Thus, unlike the present trust, the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trust did not create</w:t>
      </w:r>
    </w:p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even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 discretionary duty to distribute anything to any specific</w:t>
      </w:r>
    </w:p>
    <w:p w:rsidR="00540477" w:rsidRPr="00540477" w:rsidRDefault="00540477" w:rsidP="0054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beneficiary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.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Finally, the current trust, like the trust in </w:t>
      </w: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Corcoran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provides that, in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determining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amount of principal to disburse, the trustee "shall take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into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consideration any other income or property which such income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beneficiary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may have from any other source..."</w:t>
      </w:r>
      <w:hyperlink r:id="rId14" w:anchor="[fn9]00" w:history="1">
        <w:r w:rsidRPr="00540477">
          <w:rPr>
            <w:rFonts w:ascii="Courier" w:eastAsia="Times New Roman" w:hAnsi="Courier" w:cs="Courier New"/>
            <w:b/>
            <w:bCs/>
            <w:color w:val="660066"/>
            <w:sz w:val="18"/>
            <w:szCs w:val="18"/>
            <w:shd w:val="clear" w:color="auto" w:fill="CCFFFF"/>
          </w:rPr>
          <w:t>[fn9]</w:t>
        </w:r>
      </w:hyperlink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trust, in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contrast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explicitly stated that the trustee "shall not be required to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consider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amount of income from other sources of any beneficiary" and did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not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impose any mandatory factors for the trustee to consider that would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limit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his discretion.</w:t>
      </w:r>
      <w:hyperlink r:id="rId15" w:anchor="[fn10]00" w:history="1">
        <w:r w:rsidRPr="00540477">
          <w:rPr>
            <w:rFonts w:ascii="Courier" w:eastAsia="Times New Roman" w:hAnsi="Courier" w:cs="Courier New"/>
            <w:b/>
            <w:bCs/>
            <w:color w:val="660066"/>
            <w:sz w:val="18"/>
            <w:szCs w:val="18"/>
            <w:shd w:val="clear" w:color="auto" w:fill="CCFFFF"/>
          </w:rPr>
          <w:t>[fn10]</w:t>
        </w:r>
      </w:hyperlink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In short, the trust in this case provided that the trustee had a mandatory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duty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to use as much of the trust income for the maintenance and support of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one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specific beneficiary as the trustee deemed advisable and that he had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discretion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to use principal, even to the point of exhausting it, to provide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for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expenses related to her illness and disability. On the whole, such a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trust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is much more akin to the one in </w:t>
      </w: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Corcoran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in which the beneficiary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could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compel distributions and the funds were therefore available to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beneficiary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, than one in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in which the trustee retained absolute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discretion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. Accordingly, the hearing officer acted reasonably in concluding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that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trust in this case was an available asset and that therefore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CT Page 3058-J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the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plaintiff's assets disqualified her from Medicaid eligibility. </w:t>
      </w: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Corcoran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v</w:t>
      </w:r>
      <w:proofErr w:type="gramEnd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. Dept. of Social Services, supra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271 Conn. 698.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V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 The court affirms the commissioner's decision and dismisses the appeal. It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is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so ordered.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[fn1] In </w:t>
      </w: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Corcoran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the Supreme Court observed that collateral estoppel or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issue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preclusion arises when "an issue is actually litigated and determined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by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 valid and final judgment, and that determination is essential to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judgment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." (Internal quotation marks omitted.) </w:t>
      </w:r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Id.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689.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Court also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noted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that "[b]</w:t>
      </w:r>
      <w:proofErr w:type="spell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efore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collateral estoppel applies ... there must be an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identity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of issues between the prior and subsequent proceedings." (Internal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quotation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marks omitted.) </w:t>
      </w: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Id.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Court then found that the issues in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parallel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probate case were not identical to the issues before the department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and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therefore did not apply the collateral estoppel doctrine. </w:t>
      </w:r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Id.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687-98.</w:t>
      </w:r>
      <w:proofErr w:type="gramEnd"/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The Court did recognize, however, that "[t]he application of collateral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estoppel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should be flexible and must give way when [its] mechanical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application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would frustrate other social policies based on values equally or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more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important than the convenience afforded by finality in legal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lastRenderedPageBreak/>
        <w:t>controversies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... In the present case, where the two decisions were reached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nearly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simultaneously, there is no strong reason to afford one precedence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over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other. Thus, under the circumstances of the present case, giving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precedence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to the decision of the Probate Court would be an unwarranted and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inflexible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application of the doctrine of collateral estoppel." (Internal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quotation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marks omitted; citation omitted.) </w:t>
      </w:r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Id.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697-98.</w:t>
      </w:r>
      <w:proofErr w:type="gramEnd"/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[fn2] The doctrine would seem to apply with even greater force when, as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here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the plaintiff has already instituted administrative proceedings.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[fn3] Although the plaintiff argues that the department failed to follow its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own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guidelines from the Department's Uniform Policy Manual, the plaintiff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agrees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that departmental guidelines closely track the factors used by our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Supreme Court in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and </w:t>
      </w: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Corcoran.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Therefore, there was and is no need for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separate analysis of the trust under departmental guidelines. Further,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because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issue here is essentially a question of law, the exact method of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analysis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employed by the department does not matter as much as whether it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reached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an acceptable conclusion. See </w:t>
      </w: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Community Action for Greater Middlesex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County, Inc. v. American Alliance Insurance Co.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, </w:t>
      </w:r>
      <w:r w:rsidRPr="00540477">
        <w:rPr>
          <w:rFonts w:ascii="Verdana" w:eastAsia="Times New Roman" w:hAnsi="Verdana" w:cs="Courier New"/>
          <w:b/>
          <w:bCs/>
          <w:color w:val="660066"/>
          <w:sz w:val="18"/>
          <w:szCs w:val="18"/>
          <w:shd w:val="clear" w:color="auto" w:fill="CCFFFF"/>
        </w:rPr>
        <w:t>254 Conn. 387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, </w:t>
      </w:r>
      <w:r w:rsidRPr="00540477">
        <w:rPr>
          <w:rFonts w:ascii="Verdana" w:eastAsia="Times New Roman" w:hAnsi="Verdana" w:cs="Courier New"/>
          <w:b/>
          <w:bCs/>
          <w:color w:val="660066"/>
          <w:sz w:val="18"/>
          <w:szCs w:val="18"/>
          <w:shd w:val="clear" w:color="auto" w:fill="CCFFFF"/>
        </w:rPr>
        <w:t>395-96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bookmarkStart w:id="0" w:name="_GoBack"/>
      <w:bookmarkEnd w:id="0"/>
      <w:r w:rsidRPr="00540477">
        <w:rPr>
          <w:rFonts w:ascii="Verdana" w:eastAsia="Times New Roman" w:hAnsi="Verdana" w:cs="Courier New"/>
          <w:b/>
          <w:bCs/>
          <w:color w:val="660066"/>
          <w:sz w:val="18"/>
          <w:szCs w:val="18"/>
          <w:shd w:val="clear" w:color="auto" w:fill="CCFFFF"/>
        </w:rPr>
        <w:t>757 A.2d 1074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(2000).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[fn4] The </w:t>
      </w: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Corcoran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trust also provided that "[a]</w:t>
      </w:r>
      <w:proofErr w:type="spell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mong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circumstances and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factors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to be considered by the trustee in determining whether to make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discretionary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distributions of net income or principal to a beneficiary are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the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other income and assets known to the trustee to be available to that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beneficiary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and the advisability of supplementing such income or assets."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(Internal quotation marks omitted.) </w:t>
      </w:r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Id.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682.</w:t>
      </w:r>
      <w:proofErr w:type="gramEnd"/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[fn5] Nonetheless, the provisions differ somewhat in that the immunity of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the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trustee in the present case applies only to disbursements of principal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whereas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immunity in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extends to allocations of both income and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principal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. Thus, the trust in the present case provides with respect to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disbursements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of principal that "the Trustee's discretion shall be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conclusive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as to the advisability of such disbursement and the same shall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not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be questioned by anyone. For all sums so distributed, the Trustee shall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have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full </w:t>
      </w:r>
      <w:proofErr w:type="spell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acquittance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." </w:t>
      </w: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(ROR, p. 129.)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In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the trust stated: "The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judgment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of my Trustee as to the allocation of the net income or principal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of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this trust among the beneficiaries shall be final and conclusive upon all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interested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persons and upon making such payments or application my Trustee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shall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be fully released and discharged from all further liability or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accountability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therefor."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 xml:space="preserve"> v. Commissioner of Social Services, supra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lastRenderedPageBreak/>
        <w:t>179 Conn. 86 n. 2.</w:t>
      </w:r>
      <w:proofErr w:type="gramEnd"/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[fn6] "Until my daughter, MARIAN E. PIKULA, shall die, the Trustee shall pay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to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or spend on behalf of my said daughter MARIAN E. PIKULA, as much of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net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income derived from this trust fund as the Trustee may deem advisable to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provide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properly for his [sic] maintenance and support and may incorporate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any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income not so distributed into the principal of the fund at the option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of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Trustee." </w:t>
      </w: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(ROR, p. 129.)</w:t>
      </w:r>
      <w:proofErr w:type="gramEnd"/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[fn7] There is no dispute that, at the time of the hearing, the plaintiff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was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sole "income beneficiary" of the trust.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[fn8] The provision of the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trust in question stated: "Without in any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way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limiting the absolute discretion of my Trustee, it is my fond hope that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my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trustee pay or apply the net income or principal of the trust for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maintenance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support, education, health and general welfare of those of my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daughters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who my Trustee believes would benefit most from a share of the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income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of this trust after considering the income of the beneficiaries from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other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sources." </w:t>
      </w:r>
      <w:proofErr w:type="spell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 xml:space="preserve"> v. Commissioner of Social Services, supra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179 Conn. 86-87 n. 2.</w:t>
      </w:r>
      <w:proofErr w:type="gramEnd"/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[fn9] The </w:t>
      </w:r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Corcoran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will provided that "[a]</w:t>
      </w:r>
      <w:proofErr w:type="spell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mong</w:t>
      </w:r>
      <w:proofErr w:type="spell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circumstances and factors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to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be considered by the trustee in determining whether to make discretionary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distributions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of net income or principal to a beneficiary are the other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income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and assets known to the trustee to be available to that beneficiary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and</w:t>
      </w:r>
      <w:proofErr w:type="gramEnd"/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 xml:space="preserve"> the advisability of supplementing such income or assets." </w:t>
      </w:r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Corcoran v.</w:t>
      </w:r>
      <w:proofErr w:type="gramEnd"/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i/>
          <w:iCs/>
          <w:color w:val="000000"/>
          <w:sz w:val="21"/>
          <w:szCs w:val="21"/>
          <w:shd w:val="clear" w:color="auto" w:fill="CCFFFF"/>
        </w:rPr>
        <w:t>Dept. of Social Services, supra</w:t>
      </w:r>
      <w:r w:rsidRPr="00540477"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  <w:t>, 271 Conn. 682.</w:t>
      </w:r>
      <w:proofErr w:type="gramEnd"/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color w:val="000000"/>
          <w:sz w:val="21"/>
          <w:szCs w:val="21"/>
          <w:shd w:val="clear" w:color="auto" w:fill="CCFFFF"/>
        </w:rPr>
      </w:pP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sz w:val="21"/>
          <w:szCs w:val="21"/>
          <w:shd w:val="clear" w:color="auto" w:fill="CCFFFF"/>
        </w:rPr>
        <w:t xml:space="preserve">[fn10] The </w:t>
      </w:r>
      <w:proofErr w:type="spellStart"/>
      <w:r w:rsidRPr="00540477">
        <w:rPr>
          <w:rFonts w:ascii="Courier" w:eastAsia="Times New Roman" w:hAnsi="Courier" w:cs="Courier New"/>
          <w:i/>
          <w:iCs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sz w:val="21"/>
          <w:szCs w:val="21"/>
          <w:shd w:val="clear" w:color="auto" w:fill="CCFFFF"/>
        </w:rPr>
        <w:t xml:space="preserve"> trust stated: "My Trustee, in exercising his absolute and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sz w:val="21"/>
          <w:szCs w:val="21"/>
          <w:shd w:val="clear" w:color="auto" w:fill="CCFFFF"/>
        </w:rPr>
        <w:t>uncontrolled</w:t>
      </w:r>
      <w:proofErr w:type="gramEnd"/>
      <w:r w:rsidRPr="00540477">
        <w:rPr>
          <w:rFonts w:ascii="Courier" w:eastAsia="Times New Roman" w:hAnsi="Courier" w:cs="Courier New"/>
          <w:sz w:val="21"/>
          <w:szCs w:val="21"/>
          <w:shd w:val="clear" w:color="auto" w:fill="CCFFFF"/>
        </w:rPr>
        <w:t xml:space="preserve"> discretion, shall not be required to consider the amount of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sz w:val="21"/>
          <w:szCs w:val="21"/>
          <w:shd w:val="clear" w:color="auto" w:fill="CCFFFF"/>
        </w:rPr>
        <w:t>income</w:t>
      </w:r>
      <w:proofErr w:type="gramEnd"/>
      <w:r w:rsidRPr="00540477">
        <w:rPr>
          <w:rFonts w:ascii="Courier" w:eastAsia="Times New Roman" w:hAnsi="Courier" w:cs="Courier New"/>
          <w:sz w:val="21"/>
          <w:szCs w:val="21"/>
          <w:shd w:val="clear" w:color="auto" w:fill="CCFFFF"/>
        </w:rPr>
        <w:t xml:space="preserve"> from other sources of any beneficiary or the amount of any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sz w:val="21"/>
          <w:szCs w:val="21"/>
          <w:shd w:val="clear" w:color="auto" w:fill="CCFFFF"/>
        </w:rPr>
        <w:t>beneficiary's</w:t>
      </w:r>
      <w:proofErr w:type="gramEnd"/>
      <w:r w:rsidRPr="00540477">
        <w:rPr>
          <w:rFonts w:ascii="Courier" w:eastAsia="Times New Roman" w:hAnsi="Courier" w:cs="Courier New"/>
          <w:sz w:val="21"/>
          <w:szCs w:val="21"/>
          <w:shd w:val="clear" w:color="auto" w:fill="CCFFFF"/>
        </w:rPr>
        <w:t xml:space="preserve"> independent property or the extent to which any beneficiary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sz w:val="21"/>
          <w:szCs w:val="21"/>
          <w:shd w:val="clear" w:color="auto" w:fill="CCFFFF"/>
        </w:rPr>
        <w:t>may</w:t>
      </w:r>
      <w:proofErr w:type="gramEnd"/>
      <w:r w:rsidRPr="00540477">
        <w:rPr>
          <w:rFonts w:ascii="Courier" w:eastAsia="Times New Roman" w:hAnsi="Courier" w:cs="Courier New"/>
          <w:sz w:val="21"/>
          <w:szCs w:val="21"/>
          <w:shd w:val="clear" w:color="auto" w:fill="CCFFFF"/>
        </w:rPr>
        <w:t xml:space="preserve"> be entitled to support by a parent or any other person." </w:t>
      </w:r>
      <w:proofErr w:type="spellStart"/>
      <w:proofErr w:type="gramStart"/>
      <w:r w:rsidRPr="00540477">
        <w:rPr>
          <w:rFonts w:ascii="Courier" w:eastAsia="Times New Roman" w:hAnsi="Courier" w:cs="Courier New"/>
          <w:i/>
          <w:iCs/>
          <w:sz w:val="21"/>
          <w:szCs w:val="21"/>
          <w:shd w:val="clear" w:color="auto" w:fill="CCFFFF"/>
        </w:rPr>
        <w:t>Zeoli</w:t>
      </w:r>
      <w:proofErr w:type="spellEnd"/>
      <w:r w:rsidRPr="00540477">
        <w:rPr>
          <w:rFonts w:ascii="Courier" w:eastAsia="Times New Roman" w:hAnsi="Courier" w:cs="Courier New"/>
          <w:i/>
          <w:iCs/>
          <w:sz w:val="21"/>
          <w:szCs w:val="21"/>
          <w:shd w:val="clear" w:color="auto" w:fill="CCFFFF"/>
        </w:rPr>
        <w:t xml:space="preserve"> v.</w:t>
      </w:r>
      <w:proofErr w:type="gramEnd"/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i/>
          <w:iCs/>
          <w:sz w:val="21"/>
          <w:szCs w:val="21"/>
          <w:shd w:val="clear" w:color="auto" w:fill="CCFFFF"/>
        </w:rPr>
        <w:t>Commissioner of Social Services, supra</w:t>
      </w:r>
      <w:r w:rsidRPr="00540477">
        <w:rPr>
          <w:rFonts w:ascii="Courier" w:eastAsia="Times New Roman" w:hAnsi="Courier" w:cs="Courier New"/>
          <w:sz w:val="21"/>
          <w:szCs w:val="21"/>
          <w:shd w:val="clear" w:color="auto" w:fill="CCFFFF"/>
        </w:rPr>
        <w:t>, 179 Conn. 86-87 n. 2.</w:t>
      </w:r>
      <w:proofErr w:type="gramEnd"/>
      <w:r w:rsidRPr="00540477">
        <w:rPr>
          <w:rFonts w:ascii="Courier" w:eastAsia="Times New Roman" w:hAnsi="Courier" w:cs="Courier New"/>
          <w:sz w:val="21"/>
          <w:szCs w:val="21"/>
          <w:shd w:val="clear" w:color="auto" w:fill="CCFFFF"/>
        </w:rPr>
        <w:t xml:space="preserve"> It is true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sz w:val="21"/>
          <w:szCs w:val="21"/>
          <w:shd w:val="clear" w:color="auto" w:fill="CCFFFF"/>
        </w:rPr>
        <w:t>that</w:t>
      </w:r>
      <w:proofErr w:type="gramEnd"/>
      <w:r w:rsidRPr="00540477">
        <w:rPr>
          <w:rFonts w:ascii="Courier" w:eastAsia="Times New Roman" w:hAnsi="Courier" w:cs="Courier New"/>
          <w:sz w:val="21"/>
          <w:szCs w:val="21"/>
          <w:shd w:val="clear" w:color="auto" w:fill="CCFFFF"/>
        </w:rPr>
        <w:t xml:space="preserve"> the language quoted in note 8 does provide that the trustee in </w:t>
      </w:r>
      <w:proofErr w:type="spellStart"/>
      <w:r w:rsidRPr="00540477">
        <w:rPr>
          <w:rFonts w:ascii="Courier" w:eastAsia="Times New Roman" w:hAnsi="Courier" w:cs="Courier New"/>
          <w:i/>
          <w:iCs/>
          <w:sz w:val="21"/>
          <w:szCs w:val="21"/>
          <w:shd w:val="clear" w:color="auto" w:fill="CCFFFF"/>
        </w:rPr>
        <w:t>Zeoli</w:t>
      </w:r>
      <w:proofErr w:type="spellEnd"/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sz w:val="21"/>
          <w:szCs w:val="21"/>
          <w:shd w:val="clear" w:color="auto" w:fill="CCFFFF"/>
        </w:rPr>
        <w:t>should</w:t>
      </w:r>
      <w:proofErr w:type="gramEnd"/>
      <w:r w:rsidRPr="00540477">
        <w:rPr>
          <w:rFonts w:ascii="Courier" w:eastAsia="Times New Roman" w:hAnsi="Courier" w:cs="Courier New"/>
          <w:sz w:val="21"/>
          <w:szCs w:val="21"/>
          <w:shd w:val="clear" w:color="auto" w:fill="CCFFFF"/>
        </w:rPr>
        <w:t xml:space="preserve"> "[consider] the income of the beneficiaries from other sources..."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sz w:val="21"/>
          <w:szCs w:val="21"/>
          <w:shd w:val="clear" w:color="auto" w:fill="CCFFFF"/>
        </w:rPr>
      </w:pPr>
      <w:r w:rsidRPr="00540477">
        <w:rPr>
          <w:rFonts w:ascii="Courier" w:eastAsia="Times New Roman" w:hAnsi="Courier" w:cs="Courier New"/>
          <w:sz w:val="21"/>
          <w:szCs w:val="21"/>
          <w:shd w:val="clear" w:color="auto" w:fill="CCFFFF"/>
        </w:rPr>
        <w:t>However, that language, already permissive in nature, is further weakened by</w:t>
      </w:r>
    </w:p>
    <w:p w:rsidR="00540477" w:rsidRPr="00540477" w:rsidRDefault="00540477" w:rsidP="0054047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rPr>
          <w:rFonts w:ascii="Courier" w:eastAsia="Times New Roman" w:hAnsi="Courier" w:cs="Courier New"/>
          <w:sz w:val="21"/>
          <w:szCs w:val="21"/>
          <w:shd w:val="clear" w:color="auto" w:fill="CCFFFF"/>
        </w:rPr>
      </w:pPr>
      <w:proofErr w:type="gramStart"/>
      <w:r w:rsidRPr="00540477">
        <w:rPr>
          <w:rFonts w:ascii="Courier" w:eastAsia="Times New Roman" w:hAnsi="Courier" w:cs="Courier New"/>
          <w:sz w:val="21"/>
          <w:szCs w:val="21"/>
          <w:shd w:val="clear" w:color="auto" w:fill="CCFFFF"/>
        </w:rPr>
        <w:t>the</w:t>
      </w:r>
      <w:proofErr w:type="gramEnd"/>
      <w:r w:rsidRPr="00540477">
        <w:rPr>
          <w:rFonts w:ascii="Courier" w:eastAsia="Times New Roman" w:hAnsi="Courier" w:cs="Courier New"/>
          <w:sz w:val="21"/>
          <w:szCs w:val="21"/>
          <w:shd w:val="clear" w:color="auto" w:fill="CCFFFF"/>
        </w:rPr>
        <w:t xml:space="preserve"> precatory preface "it is my fond hope..."</w:t>
      </w:r>
    </w:p>
    <w:p w:rsidR="003E0E70" w:rsidRDefault="003E0E70" w:rsidP="00540477">
      <w:pPr>
        <w:shd w:val="clear" w:color="auto" w:fill="FFFFFF" w:themeFill="background1"/>
      </w:pPr>
    </w:p>
    <w:sectPr w:rsidR="003E0E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477"/>
    <w:rsid w:val="003E0E70"/>
    <w:rsid w:val="00540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047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0477"/>
    <w:rPr>
      <w:rFonts w:ascii="Courier New" w:eastAsia="Times New Roman" w:hAnsi="Courier New" w:cs="Courier New"/>
      <w:sz w:val="20"/>
      <w:szCs w:val="20"/>
    </w:rPr>
  </w:style>
  <w:style w:type="character" w:customStyle="1" w:styleId="hilite">
    <w:name w:val="hilite"/>
    <w:basedOn w:val="DefaultParagraphFont"/>
    <w:rsid w:val="00540477"/>
  </w:style>
  <w:style w:type="character" w:customStyle="1" w:styleId="unpublish">
    <w:name w:val="unpublish"/>
    <w:basedOn w:val="DefaultParagraphFont"/>
    <w:rsid w:val="00540477"/>
  </w:style>
  <w:style w:type="character" w:styleId="Hyperlink">
    <w:name w:val="Hyperlink"/>
    <w:basedOn w:val="DefaultParagraphFont"/>
    <w:uiPriority w:val="99"/>
    <w:semiHidden/>
    <w:unhideWhenUsed/>
    <w:rsid w:val="0054047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047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0477"/>
    <w:rPr>
      <w:rFonts w:ascii="Courier New" w:eastAsia="Times New Roman" w:hAnsi="Courier New" w:cs="Courier New"/>
      <w:sz w:val="20"/>
      <w:szCs w:val="20"/>
    </w:rPr>
  </w:style>
  <w:style w:type="character" w:customStyle="1" w:styleId="hilite">
    <w:name w:val="hilite"/>
    <w:basedOn w:val="DefaultParagraphFont"/>
    <w:rsid w:val="00540477"/>
  </w:style>
  <w:style w:type="character" w:customStyle="1" w:styleId="unpublish">
    <w:name w:val="unpublish"/>
    <w:basedOn w:val="DefaultParagraphFont"/>
    <w:rsid w:val="00540477"/>
  </w:style>
  <w:style w:type="character" w:styleId="Hyperlink">
    <w:name w:val="Hyperlink"/>
    <w:basedOn w:val="DefaultParagraphFont"/>
    <w:uiPriority w:val="99"/>
    <w:semiHidden/>
    <w:unhideWhenUsed/>
    <w:rsid w:val="005404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434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5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45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95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04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8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12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4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3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2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2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oislaw.com/pns/doclink.htp?alias=CTCASE&amp;cite=254+Conn.+333" TargetMode="External"/><Relationship Id="rId13" Type="http://schemas.openxmlformats.org/officeDocument/2006/relationships/hyperlink" Target="http://www.loislaw.com/pns/docview.htp?query=%28cv14+6024057s%29&amp;pagename=Case+Law&amp;srcquery=P@eLsoKQgl03BJLEm1MzIwNDGwNDbQBAAgBgOh&amp;sortspec=date+desc+docnum+desc&amp;resstart=0&amp;respage=25&amp;hidesummary=0&amp;booklist=P@eLsoKQglSy4pLi0AAAZ3AjA%3D&amp;colistfdcr=P@eLsoKQglAwAAAAAB&amp;colistbcr=P@eLsoKQglAwAAAAAB&amp;popnamekw=P@eLsoKQglAwAAAAAB&amp;logauto=&amp;bottomID=&amp;hits=1&amp;curdoc=0&amp;swascnt=&amp;textquery=&amp;k2dockey=28678453@COLL43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oislaw.com/pns/doclink.htp?alias=CTCASE&amp;cite=304+Conn.+317" TargetMode="External"/><Relationship Id="rId12" Type="http://schemas.openxmlformats.org/officeDocument/2006/relationships/hyperlink" Target="http://www.loislaw.com/pns/docview.htp?query=%28cv14+6024057s%29&amp;pagename=Case+Law&amp;srcquery=P@eLsoKQgl03BJLEm1MzIwNDGwNDbQBAAgBgOh&amp;sortspec=date+desc+docnum+desc&amp;resstart=0&amp;respage=25&amp;hidesummary=0&amp;booklist=P@eLsoKQglSy4pLi0AAAZ3AjA%3D&amp;colistfdcr=P@eLsoKQglAwAAAAAB&amp;colistbcr=P@eLsoKQglAwAAAAAB&amp;popnamekw=P@eLsoKQglAwAAAAAB&amp;logauto=&amp;bottomID=&amp;hits=1&amp;curdoc=0&amp;swascnt=&amp;textquery=&amp;k2dockey=28678453@COLL43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loislaw.com/pns/doclink.htp?alias=CTCASE&amp;cite=778+A.2d+7" TargetMode="External"/><Relationship Id="rId11" Type="http://schemas.openxmlformats.org/officeDocument/2006/relationships/hyperlink" Target="http://www.loislaw.com/pns/docview.htp?query=%28cv14+6024057s%29&amp;pagename=Case+Law&amp;srcquery=P@eLsoKQgl03BJLEm1MzIwNDGwNDbQBAAgBgOh&amp;sortspec=date+desc+docnum+desc&amp;resstart=0&amp;respage=25&amp;hidesummary=0&amp;booklist=P@eLsoKQglSy4pLi0AAAZ3AjA%3D&amp;colistfdcr=P@eLsoKQglAwAAAAAB&amp;colistbcr=P@eLsoKQglAwAAAAAB&amp;popnamekw=P@eLsoKQglAwAAAAAB&amp;logauto=&amp;bottomID=&amp;hits=1&amp;curdoc=0&amp;swascnt=&amp;textquery=&amp;k2dockey=28678453@COLL43" TargetMode="External"/><Relationship Id="rId5" Type="http://schemas.openxmlformats.org/officeDocument/2006/relationships/hyperlink" Target="http://www.loislaw.com/pns/doclink.htp?alias=CTCASE&amp;cite=257+Conn.+128" TargetMode="External"/><Relationship Id="rId15" Type="http://schemas.openxmlformats.org/officeDocument/2006/relationships/hyperlink" Target="http://www.loislaw.com/pns/docview.htp?query=%28cv14+6024057s%29&amp;pagename=Case+Law&amp;srcquery=P@eLsoKQgl03BJLEm1MzIwNDGwNDbQBAAgBgOh&amp;sortspec=date+desc+docnum+desc&amp;resstart=0&amp;respage=25&amp;hidesummary=0&amp;booklist=P@eLsoKQglSy4pLi0AAAZ3AjA%3D&amp;colistfdcr=P@eLsoKQglAwAAAAAB&amp;colistbcr=P@eLsoKQglAwAAAAAB&amp;popnamekw=P@eLsoKQglAwAAAAAB&amp;logauto=&amp;bottomID=&amp;hits=1&amp;curdoc=0&amp;swascnt=&amp;textquery=&amp;k2dockey=28678453@COLL43" TargetMode="External"/><Relationship Id="rId10" Type="http://schemas.openxmlformats.org/officeDocument/2006/relationships/hyperlink" Target="http://www.loislaw.com/pns/docview.htp?query=%28cv14+6024057s%29&amp;pagename=Case+Law&amp;srcquery=P@eLsoKQgl03BJLEm1MzIwNDGwNDbQBAAgBgOh&amp;sortspec=date+desc+docnum+desc&amp;resstart=0&amp;respage=25&amp;hidesummary=0&amp;booklist=P@eLsoKQglSy4pLi0AAAZ3AjA%3D&amp;colistfdcr=P@eLsoKQglAwAAAAAB&amp;colistbcr=P@eLsoKQglAwAAAAAB&amp;popnamekw=P@eLsoKQglAwAAAAAB&amp;logauto=&amp;bottomID=&amp;hits=1&amp;curdoc=0&amp;swascnt=&amp;textquery=&amp;k2dockey=28678453@COLL4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loislaw.com/pns/docview.htp?query=%28cv14+6024057s%29&amp;pagename=Case+Law&amp;srcquery=P@eLsoKQgl03BJLEm1MzIwNDGwNDbQBAAgBgOh&amp;sortspec=date+desc+docnum+desc&amp;resstart=0&amp;respage=25&amp;hidesummary=0&amp;booklist=P@eLsoKQglSy4pLi0AAAZ3AjA%3D&amp;colistfdcr=P@eLsoKQglAwAAAAAB&amp;colistbcr=P@eLsoKQglAwAAAAAB&amp;popnamekw=P@eLsoKQglAwAAAAAB&amp;logauto=&amp;bottomID=&amp;hits=1&amp;curdoc=0&amp;swascnt=&amp;textquery=&amp;k2dockey=28678453@COLL43" TargetMode="External"/><Relationship Id="rId14" Type="http://schemas.openxmlformats.org/officeDocument/2006/relationships/hyperlink" Target="http://www.loislaw.com/pns/docview.htp?query=%28cv14+6024057s%29&amp;pagename=Case+Law&amp;srcquery=P@eLsoKQgl03BJLEm1MzIwNDGwNDbQBAAgBgOh&amp;sortspec=date+desc+docnum+desc&amp;resstart=0&amp;respage=25&amp;hidesummary=0&amp;booklist=P@eLsoKQglSy4pLi0AAAZ3AjA%3D&amp;colistfdcr=P@eLsoKQglAwAAAAAB&amp;colistbcr=P@eLsoKQglAwAAAAAB&amp;popnamekw=P@eLsoKQglAwAAAAAB&amp;logauto=&amp;bottomID=&amp;hits=1&amp;curdoc=0&amp;swascnt=&amp;textquery=&amp;k2dockey=28678453@COLL4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4484</Words>
  <Characters>25561</Characters>
  <Application>Microsoft Office Word</Application>
  <DocSecurity>0</DocSecurity>
  <Lines>213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kencoughlin</dc:creator>
  <cp:lastModifiedBy>kencoughlin</cp:lastModifiedBy>
  <cp:revision>1</cp:revision>
  <dcterms:created xsi:type="dcterms:W3CDTF">2014-12-29T18:18:00Z</dcterms:created>
  <dcterms:modified xsi:type="dcterms:W3CDTF">2014-12-29T18:29:00Z</dcterms:modified>
</cp:coreProperties>
</file>